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04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-171450</wp:posOffset>
                </wp:positionV>
                <wp:extent cx="6360465" cy="1738968"/>
                <wp:effectExtent l="0" t="0" r="0" b="0"/>
                <wp:wrapNone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9889069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6360464" cy="1738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1pt;mso-wrap-distance-top:0.0pt;mso-wrap-distance-right:9.1pt;mso-wrap-distance-bottom:0.0pt;z-index:2048;o:allowoverlap:true;o:allowincell:true;mso-position-horizontal-relative:text;margin-left:-24.8pt;mso-position-horizontal:absolute;mso-position-vertical-relative:text;margin-top:-13.5pt;mso-position-vertical:absolute;width:500.8pt;height:136.9pt;" stroked="false">
                <v:path textboxrect="0,0,0,0"/>
                <v:imagedata r:id="rId8" o:title=""/>
              </v:shape>
            </w:pict>
          </mc:Fallback>
        </mc:AlternateContent>
      </w:r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pStyle w:val="603"/>
        <w:jc w:val="left"/>
        <w:shd w:val="clear" w:color="auto" w:fill="auto"/>
      </w:pPr>
      <w:r>
        <w:t xml:space="preserve">                                </w:t>
      </w:r>
      <w:r>
        <w:rPr>
          <w:color w:val="000000"/>
          <w:lang w:bidi="ru-RU" w:eastAsia="ru-RU"/>
        </w:rPr>
        <w:t xml:space="preserve">ИЗМЕНЕНИЯ</w:t>
      </w:r>
      <w:r/>
    </w:p>
    <w:p>
      <w:pPr>
        <w:pStyle w:val="603"/>
        <w:shd w:val="clear" w:color="auto" w:fill="auto"/>
        <w:rPr>
          <w:color w:val="000000"/>
          <w:lang w:bidi="ru-RU" w:eastAsia="ru-RU"/>
        </w:rPr>
      </w:pPr>
      <w:r>
        <w:rPr>
          <w:color w:val="000000"/>
          <w:lang w:bidi="ru-RU" w:eastAsia="ru-RU"/>
        </w:rPr>
        <w:t xml:space="preserve">В</w:t>
      </w:r>
      <w:r>
        <w:rPr>
          <w:color w:val="000000"/>
          <w:lang w:bidi="ru-RU" w:eastAsia="ru-RU"/>
        </w:rPr>
        <w:t xml:space="preserve"> </w:t>
      </w:r>
      <w:r>
        <w:rPr>
          <w:color w:val="000000"/>
          <w:lang w:bidi="ru-RU" w:eastAsia="ru-RU"/>
        </w:rPr>
        <w:t xml:space="preserve">ПРАВИЛА ВНУТРЕННЕГО ТРУДОВОГО РАСПОРЯДКА МОКУ СОШ п. Безбожник </w:t>
      </w:r>
      <w:r>
        <w:rPr>
          <w:color w:val="000000"/>
          <w:lang w:bidi="ru-RU" w:eastAsia="ru-RU"/>
        </w:rPr>
        <w:t xml:space="preserve">Мурашинского</w:t>
      </w:r>
      <w:r>
        <w:rPr>
          <w:color w:val="000000"/>
          <w:lang w:bidi="ru-RU" w:eastAsia="ru-RU"/>
        </w:rPr>
        <w:t xml:space="preserve"> района Кировской области</w:t>
      </w:r>
      <w:r/>
    </w:p>
    <w:p>
      <w:pPr>
        <w:pStyle w:val="603"/>
        <w:shd w:val="clear" w:color="auto" w:fill="auto"/>
        <w:rPr>
          <w:color w:val="000000"/>
          <w:lang w:bidi="ru-RU" w:eastAsia="ru-RU"/>
        </w:rPr>
      </w:pPr>
      <w:r>
        <w:rPr>
          <w:color w:val="000000"/>
          <w:lang w:bidi="ru-RU" w:eastAsia="ru-RU"/>
        </w:rPr>
      </w:r>
      <w:r/>
    </w:p>
    <w:p>
      <w:pPr>
        <w:pStyle w:val="603"/>
        <w:shd w:val="clear" w:color="auto" w:fill="auto"/>
        <w:rPr>
          <w:color w:val="000000"/>
          <w:lang w:bidi="ru-RU" w:eastAsia="ru-RU"/>
        </w:rPr>
      </w:pPr>
      <w:r>
        <w:rPr>
          <w:color w:val="000000"/>
          <w:lang w:bidi="ru-RU" w:eastAsia="ru-RU"/>
        </w:rPr>
      </w:r>
      <w:r/>
    </w:p>
    <w:p>
      <w:pPr>
        <w:pStyle w:val="603"/>
        <w:shd w:val="clear" w:color="auto" w:fill="auto"/>
        <w:rPr>
          <w:color w:val="000000"/>
          <w:lang w:bidi="ru-RU" w:eastAsia="ru-RU"/>
        </w:rPr>
      </w:pPr>
      <w:r>
        <w:rPr>
          <w:color w:val="000000"/>
          <w:lang w:bidi="ru-RU" w:eastAsia="ru-RU"/>
        </w:rPr>
      </w:r>
      <w:r/>
    </w:p>
    <w:p>
      <w:pPr>
        <w:pStyle w:val="603"/>
        <w:shd w:val="clear" w:color="auto" w:fill="auto"/>
        <w:rPr>
          <w:color w:val="000000"/>
          <w:lang w:bidi="ru-RU" w:eastAsia="ru-RU"/>
        </w:rPr>
      </w:pPr>
      <w:r>
        <w:rPr>
          <w:color w:val="000000"/>
          <w:lang w:bidi="ru-RU" w:eastAsia="ru-RU"/>
        </w:rPr>
      </w:r>
      <w:r/>
    </w:p>
    <w:p>
      <w:pPr>
        <w:pStyle w:val="603"/>
        <w:shd w:val="clear" w:color="auto" w:fill="auto"/>
        <w:rPr>
          <w:color w:val="000000"/>
          <w:lang w:bidi="ru-RU" w:eastAsia="ru-RU"/>
        </w:rPr>
      </w:pPr>
      <w:r>
        <w:rPr>
          <w:color w:val="000000"/>
          <w:lang w:bidi="ru-RU" w:eastAsia="ru-RU"/>
        </w:rPr>
      </w:r>
      <w:r/>
    </w:p>
    <w:p>
      <w:pPr>
        <w:pStyle w:val="603"/>
        <w:shd w:val="clear" w:color="auto" w:fill="auto"/>
        <w:rPr>
          <w:color w:val="000000"/>
          <w:lang w:bidi="ru-RU" w:eastAsia="ru-RU"/>
        </w:rPr>
      </w:pPr>
      <w:r>
        <w:rPr>
          <w:color w:val="000000"/>
          <w:lang w:bidi="ru-RU" w:eastAsia="ru-RU"/>
        </w:rPr>
      </w:r>
      <w:r/>
    </w:p>
    <w:p>
      <w:pPr>
        <w:pStyle w:val="603"/>
        <w:shd w:val="clear" w:color="auto" w:fill="auto"/>
        <w:rPr>
          <w:color w:val="000000"/>
          <w:lang w:bidi="ru-RU" w:eastAsia="ru-RU"/>
        </w:rPr>
      </w:pPr>
      <w:r>
        <w:rPr>
          <w:color w:val="000000"/>
          <w:lang w:bidi="ru-RU" w:eastAsia="ru-RU"/>
        </w:rPr>
      </w:r>
      <w:r/>
    </w:p>
    <w:p>
      <w:pPr>
        <w:pStyle w:val="603"/>
        <w:shd w:val="clear" w:color="auto" w:fill="auto"/>
        <w:rPr>
          <w:color w:val="000000"/>
          <w:lang w:bidi="ru-RU" w:eastAsia="ru-RU"/>
        </w:rPr>
      </w:pPr>
      <w:r>
        <w:rPr>
          <w:color w:val="000000"/>
          <w:lang w:bidi="ru-RU" w:eastAsia="ru-RU"/>
        </w:rPr>
      </w:r>
      <w:r/>
    </w:p>
    <w:p>
      <w:pPr>
        <w:pStyle w:val="603"/>
        <w:shd w:val="clear" w:color="auto" w:fill="auto"/>
        <w:rPr>
          <w:color w:val="000000"/>
          <w:lang w:bidi="ru-RU" w:eastAsia="ru-RU"/>
        </w:rPr>
      </w:pPr>
      <w:r>
        <w:rPr>
          <w:color w:val="000000"/>
          <w:lang w:bidi="ru-RU" w:eastAsia="ru-RU"/>
        </w:rPr>
      </w:r>
      <w:r/>
    </w:p>
    <w:p>
      <w:pPr>
        <w:pStyle w:val="603"/>
        <w:shd w:val="clear" w:color="auto" w:fill="auto"/>
        <w:rPr>
          <w:color w:val="000000"/>
          <w:lang w:bidi="ru-RU" w:eastAsia="ru-RU"/>
        </w:rPr>
      </w:pPr>
      <w:r>
        <w:rPr>
          <w:color w:val="000000"/>
          <w:lang w:bidi="ru-RU" w:eastAsia="ru-RU"/>
        </w:rPr>
      </w:r>
      <w:r/>
    </w:p>
    <w:p>
      <w:pPr>
        <w:pStyle w:val="603"/>
        <w:shd w:val="clear" w:color="auto" w:fill="auto"/>
        <w:rPr>
          <w:color w:val="000000"/>
          <w:lang w:bidi="ru-RU" w:eastAsia="ru-RU"/>
        </w:rPr>
      </w:pPr>
      <w:r>
        <w:rPr>
          <w:color w:val="000000"/>
          <w:lang w:bidi="ru-RU" w:eastAsia="ru-RU"/>
        </w:rPr>
      </w:r>
      <w:r/>
    </w:p>
    <w:p>
      <w:pPr>
        <w:pStyle w:val="603"/>
        <w:shd w:val="clear" w:color="auto" w:fill="auto"/>
        <w:rPr>
          <w:color w:val="000000"/>
          <w:lang w:bidi="ru-RU" w:eastAsia="ru-RU"/>
        </w:rPr>
      </w:pPr>
      <w:r>
        <w:rPr>
          <w:color w:val="000000"/>
          <w:lang w:bidi="ru-RU" w:eastAsia="ru-RU"/>
        </w:rPr>
      </w:r>
      <w:r/>
    </w:p>
    <w:p>
      <w:pPr>
        <w:pStyle w:val="603"/>
        <w:shd w:val="clear" w:color="auto" w:fill="auto"/>
        <w:rPr>
          <w:color w:val="000000"/>
          <w:lang w:bidi="ru-RU" w:eastAsia="ru-RU"/>
        </w:rPr>
      </w:pPr>
      <w:r>
        <w:rPr>
          <w:color w:val="000000"/>
          <w:lang w:bidi="ru-RU" w:eastAsia="ru-RU"/>
        </w:rPr>
      </w:r>
      <w:r/>
    </w:p>
    <w:p>
      <w:pPr>
        <w:pStyle w:val="603"/>
        <w:shd w:val="clear" w:color="auto" w:fill="auto"/>
        <w:rPr>
          <w:color w:val="000000"/>
          <w:lang w:bidi="ru-RU" w:eastAsia="ru-RU"/>
        </w:rPr>
      </w:pPr>
      <w:r>
        <w:rPr>
          <w:color w:val="000000"/>
          <w:lang w:bidi="ru-RU" w:eastAsia="ru-RU"/>
        </w:rPr>
      </w:r>
      <w:r/>
    </w:p>
    <w:p>
      <w:pPr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разделе </w:t>
      </w:r>
      <w:r>
        <w:rPr>
          <w:rFonts w:ascii="Times New Roman" w:hAnsi="Times New Roman" w:cs="Times New Roman"/>
          <w:sz w:val="28"/>
          <w:szCs w:val="28"/>
        </w:rPr>
        <w:t xml:space="preserve">«Порядок приема</w:t>
      </w:r>
      <w:r>
        <w:rPr>
          <w:rFonts w:ascii="Times New Roman" w:hAnsi="Times New Roman" w:cs="Times New Roman"/>
          <w:sz w:val="28"/>
          <w:szCs w:val="28"/>
        </w:rPr>
        <w:t xml:space="preserve"> и увольнения работников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в перечне документов, предъявляемым лицом , поступающим на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</w:t>
      </w:r>
      <w:r>
        <w:rPr>
          <w:rFonts w:ascii="Times New Roman" w:hAnsi="Times New Roman" w:cs="Times New Roman"/>
          <w:sz w:val="28"/>
          <w:szCs w:val="28"/>
        </w:rPr>
        <w:t xml:space="preserve"> «Страховое свидетельство государственного пенсионного страхования» заменить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hyperlink r:id="rId9" w:tooltip="http://www.consultant.ru/document/cons_doc_LAW_333621/d7e9aec7823bca8ad26627694937a9a78bc4071c/#dst100012" w:anchor="dst100012" w:history="1">
        <w:r>
          <w:rPr>
            <w:rStyle w:val="607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 xml:space="preserve">документ</w:t>
        </w:r>
      </w:hyperlink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подтверждающий регистрацию в системе индивидуального (персонифицированного) учета, в том числе в форме электронного документа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»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(ст. 65 ТК РФ)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;</w:t>
      </w:r>
      <w:r/>
    </w:p>
    <w:p>
      <w:pPr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r>
      <w:r/>
    </w:p>
    <w:p>
      <w:pPr>
        <w:ind w:firstLine="708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«Порядок приема и увольнения работников» абзац 2 (страница 2 Правил внутреннего трудового распорядка)) читать в новой редакции: «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Прием на работу оформляется трудовым договором. Работодатель вправе издать на основании заключенного трудового договора </w:t>
      </w:r>
      <w:hyperlink r:id="rId10" w:tooltip="http://www.consultant.ru/document/cons_doc_LAW_34683/1d91a5e82050178caef5d0eea647ee6caf4effd1/" w:history="1">
        <w:r>
          <w:rPr>
            <w:rStyle w:val="607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 xml:space="preserve">приказ</w:t>
        </w:r>
      </w:hyperlink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 (распоряжение) о приеме на работу. Содержание приказа (распоряжения) работодателя должно соответствовать условиям заключенного трудового договора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»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(ст. 68 ТК РФ)</w:t>
      </w:r>
      <w:bookmarkStart w:id="0" w:name="_GoBack"/>
      <w:r/>
      <w:bookmarkEnd w:id="0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character" w:styleId="602" w:customStyle="1">
    <w:name w:val="Основной текст (3)_"/>
    <w:basedOn w:val="599"/>
    <w:link w:val="603"/>
    <w:rPr>
      <w:rFonts w:ascii="Times New Roman" w:hAnsi="Times New Roman" w:cs="Times New Roman" w:eastAsia="Times New Roman"/>
      <w:b/>
      <w:bCs/>
      <w:sz w:val="40"/>
      <w:szCs w:val="40"/>
      <w:shd w:val="clear" w:color="auto" w:fill="ffffff"/>
    </w:rPr>
  </w:style>
  <w:style w:type="paragraph" w:styleId="603" w:customStyle="1">
    <w:name w:val="Основной текст (3)"/>
    <w:basedOn w:val="598"/>
    <w:link w:val="602"/>
    <w:pPr>
      <w:jc w:val="center"/>
      <w:spacing w:after="0" w:line="276" w:lineRule="auto"/>
      <w:shd w:val="clear" w:color="auto" w:fill="ffffff"/>
      <w:widowControl w:val="off"/>
    </w:pPr>
    <w:rPr>
      <w:rFonts w:ascii="Times New Roman" w:hAnsi="Times New Roman" w:cs="Times New Roman" w:eastAsia="Times New Roman"/>
      <w:b/>
      <w:bCs/>
      <w:sz w:val="40"/>
      <w:szCs w:val="40"/>
    </w:rPr>
  </w:style>
  <w:style w:type="paragraph" w:styleId="604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605">
    <w:name w:val="List Paragraph"/>
    <w:basedOn w:val="598"/>
    <w:uiPriority w:val="34"/>
    <w:qFormat/>
    <w:pPr>
      <w:contextualSpacing/>
      <w:ind w:left="720"/>
      <w:jc w:val="both"/>
      <w:spacing w:after="0" w:line="240" w:lineRule="auto"/>
    </w:pPr>
  </w:style>
  <w:style w:type="table" w:styleId="606">
    <w:name w:val="Table Grid"/>
    <w:basedOn w:val="600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07">
    <w:name w:val="Hyperlink"/>
    <w:basedOn w:val="599"/>
    <w:uiPriority w:val="99"/>
    <w:semiHidden/>
    <w:unhideWhenUsed/>
    <w:rPr>
      <w:color w:val="0000FF"/>
      <w:u w:val="single"/>
    </w:rPr>
  </w:style>
  <w:style w:type="paragraph" w:styleId="608">
    <w:name w:val="Balloon Text"/>
    <w:basedOn w:val="598"/>
    <w:link w:val="60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09" w:customStyle="1">
    <w:name w:val="Текст выноски Знак"/>
    <w:basedOn w:val="599"/>
    <w:link w:val="60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hyperlink" Target="http://www.consultant.ru/document/cons_doc_LAW_333621/d7e9aec7823bca8ad26627694937a9a78bc4071c/" TargetMode="External"/><Relationship Id="rId10" Type="http://schemas.openxmlformats.org/officeDocument/2006/relationships/hyperlink" Target="http://www.consultant.ru/document/cons_doc_LAW_34683/1d91a5e82050178caef5d0eea647ee6caf4effd1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revision>3</cp:revision>
  <dcterms:created xsi:type="dcterms:W3CDTF">2022-10-06T07:37:00Z</dcterms:created>
  <dcterms:modified xsi:type="dcterms:W3CDTF">2022-10-19T15:17:33Z</dcterms:modified>
</cp:coreProperties>
</file>